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61E7" w14:textId="77777777" w:rsidR="002558EF" w:rsidRPr="00CC5884" w:rsidRDefault="002558EF" w:rsidP="002558EF">
      <w:pPr>
        <w:keepNext/>
        <w:numPr>
          <w:ilvl w:val="1"/>
          <w:numId w:val="0"/>
        </w:numPr>
        <w:tabs>
          <w:tab w:val="num" w:pos="0"/>
        </w:tabs>
        <w:spacing w:before="240" w:after="120"/>
        <w:ind w:left="576" w:hanging="576"/>
        <w:outlineLvl w:val="1"/>
        <w:rPr>
          <w:lang w:eastAsia="pl-PL" w:bidi="ar-SA"/>
        </w:rPr>
      </w:pPr>
      <w:bookmarkStart w:id="0" w:name="_Toc484512302"/>
      <w:r w:rsidRPr="00CC5884">
        <w:rPr>
          <w:lang w:eastAsia="pl-PL" w:bidi="ar-SA"/>
        </w:rPr>
        <w:t>D – 06.03.01a POBOCZE  UTWARDZONE  KRUSZYWEM  ŁAMANYM</w:t>
      </w:r>
      <w:bookmarkEnd w:id="0"/>
    </w:p>
    <w:p w14:paraId="29D3D068" w14:textId="77777777" w:rsidR="002558EF" w:rsidRPr="00CC5884" w:rsidRDefault="002558EF" w:rsidP="002558EF">
      <w:pPr>
        <w:rPr>
          <w:rFonts w:eastAsia="Times New Roman" w:cs="Times New Roman"/>
          <w:kern w:val="36"/>
          <w:sz w:val="48"/>
          <w:szCs w:val="48"/>
          <w:lang w:eastAsia="pl-PL" w:bidi="ar-SA"/>
        </w:rPr>
      </w:pPr>
      <w:bookmarkStart w:id="1" w:name="_Toc211316612"/>
      <w:r w:rsidRPr="00CC5884">
        <w:rPr>
          <w:szCs w:val="21"/>
        </w:rPr>
        <w:t>1. WSTĘP</w:t>
      </w:r>
      <w:bookmarkEnd w:id="1"/>
    </w:p>
    <w:p w14:paraId="3DEEF86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1.1. Przedmiot OST</w:t>
      </w:r>
    </w:p>
    <w:p w14:paraId="13BD54D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Przedmiotem niniejszej ogólnej specyfikacji technicznej (OST) są wymagania dotyczące wykonania i odbioru robót związanych z utwardzeniem pobocza kruszywem łamanym.</w:t>
      </w:r>
    </w:p>
    <w:p w14:paraId="616CEE3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1.2. Zakres stosowania OST</w:t>
      </w:r>
    </w:p>
    <w:p w14:paraId="2AFB5E3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Ogólna specyfikacja techniczna (OST) jest materiałem pomocniczym do  opracowania specyfikacji technicznej wykonania i odbioru robót budowlanych (ST) stosowanej jako dokument przetargowy i kontraktowy przy zlecaniu i realizacji robót na drogach i ulicach.</w:t>
      </w:r>
    </w:p>
    <w:p w14:paraId="085B3516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1.3. Zakres robót objętych OST</w:t>
      </w:r>
    </w:p>
    <w:p w14:paraId="2E10483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Ustalenia zawarte w niniejszej specyfikacji dotyczą zasad prowadzenia robót związanych z wykonaniem i odbiorem utwardzonego pobocza za pomocą kruszywa łamanego niezwiązanego (dawniej nazywanego „kruszywem stabilizowanym mechanicznie”).</w:t>
      </w:r>
    </w:p>
    <w:p w14:paraId="41AE1FF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Utwardzone pobocze może być wykonane na istniejącym poboczu gruntowym (wymagając wykonania w nim koryta), względnie może być wykonane jednocześnie z nawierzchnią jezdni w czasie budowy nowej drogi (nie wymagając koryta).</w:t>
      </w:r>
    </w:p>
    <w:p w14:paraId="500C5DD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1.4. Określenia podstawowe</w:t>
      </w:r>
    </w:p>
    <w:p w14:paraId="057882D5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 xml:space="preserve">1.4.1. </w:t>
      </w:r>
      <w:r w:rsidRPr="00CC5884">
        <w:rPr>
          <w:sz w:val="20"/>
          <w:szCs w:val="20"/>
        </w:rPr>
        <w:t>Pobocze – część korony drogi przeznaczona do chwilowego postoju pojazdów, umieszczenia urządzeń organizacji i bezpieczeństwa ruchu oraz do ruchu pieszych, służąca jednocześnie do bocznego oparcia konstrukcji nawierzchni.</w:t>
      </w:r>
    </w:p>
    <w:p w14:paraId="7B3FDFAB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 xml:space="preserve">1.4.2. </w:t>
      </w:r>
      <w:r w:rsidRPr="00CC5884">
        <w:rPr>
          <w:sz w:val="20"/>
          <w:szCs w:val="20"/>
        </w:rPr>
        <w:t>Utwardzone pobocze – część pobocza drogowego, posiadająca w ciągu całego roku nośność wystarczającą do przejęcia obciążenia statycznego od kół samochodów, dopuszczonych do ruchu na drodze (zał. 2, rys. 1 i 2).</w:t>
      </w:r>
    </w:p>
    <w:p w14:paraId="5C74AF76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 xml:space="preserve">1.4.3. </w:t>
      </w:r>
      <w:r w:rsidRPr="00CC5884">
        <w:rPr>
          <w:sz w:val="20"/>
          <w:szCs w:val="20"/>
        </w:rPr>
        <w:t>Gruntowe pobocze – część pobocza drogowego, stanowiąca obrzeże utwardzonego pobocza, przeznaczona do ustawiania znaków i urządzeń zabezpieczenia ruchu.</w:t>
      </w:r>
    </w:p>
    <w:p w14:paraId="037C23F4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 xml:space="preserve">1.4.4. </w:t>
      </w:r>
      <w:r w:rsidRPr="00CC5884">
        <w:rPr>
          <w:sz w:val="20"/>
          <w:szCs w:val="20"/>
        </w:rPr>
        <w:t>Utwardzenie pobocza kruszywem łamanym niezwiązanym – proces technologiczny, polegający na odpowiednim zagęszczeniu w optymalnej wilgotności kruszywa o właściwie dobranym uziarnieniu (proces ten nazywany był dawniej stabilizacją mechaniczną).</w:t>
      </w:r>
    </w:p>
    <w:p w14:paraId="4C7BF233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 xml:space="preserve">1.4.5. </w:t>
      </w:r>
      <w:r w:rsidRPr="00CC5884">
        <w:rPr>
          <w:sz w:val="20"/>
          <w:szCs w:val="20"/>
        </w:rPr>
        <w:t>Pozostałe określenia podstawowe są zgodne z obowiązującymi, odpowiednimi polskimi normami i z definicjami podanymi w OST D-M-00.00.00 „Wymagania ogólne” pkt 1.4.</w:t>
      </w:r>
    </w:p>
    <w:p w14:paraId="4A076EF6" w14:textId="77777777" w:rsidR="002558EF" w:rsidRPr="00CC5884" w:rsidRDefault="002558EF" w:rsidP="002558EF">
      <w:pPr>
        <w:rPr>
          <w:sz w:val="36"/>
          <w:szCs w:val="36"/>
        </w:rPr>
      </w:pPr>
      <w:r w:rsidRPr="00CC5884">
        <w:rPr>
          <w:szCs w:val="21"/>
        </w:rPr>
        <w:t>1.5. Ogólne wymagania dotyczące robót</w:t>
      </w:r>
    </w:p>
    <w:p w14:paraId="1A38A471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ab/>
      </w:r>
      <w:r w:rsidRPr="00CC5884">
        <w:rPr>
          <w:sz w:val="20"/>
          <w:szCs w:val="20"/>
        </w:rPr>
        <w:t>Ogólne wymagania dotyczące robót podano w OST D-M-00.00.00 „Wymagania ogólne” [1] pkt 1.5.</w:t>
      </w:r>
    </w:p>
    <w:p w14:paraId="0A094B0F" w14:textId="77777777" w:rsidR="002558EF" w:rsidRPr="00CC5884" w:rsidRDefault="002558EF" w:rsidP="002558EF">
      <w:pPr>
        <w:rPr>
          <w:sz w:val="48"/>
          <w:szCs w:val="48"/>
        </w:rPr>
      </w:pPr>
      <w:bookmarkStart w:id="2" w:name="_Toc211316613"/>
      <w:bookmarkStart w:id="3" w:name="_Toc210107778"/>
      <w:bookmarkStart w:id="4" w:name="_Toc208892382"/>
      <w:bookmarkStart w:id="5" w:name="_Toc431184075"/>
      <w:r w:rsidRPr="00CC5884">
        <w:rPr>
          <w:szCs w:val="21"/>
        </w:rPr>
        <w:t>2. MATERIAŁY</w:t>
      </w:r>
      <w:bookmarkEnd w:id="2"/>
      <w:bookmarkEnd w:id="3"/>
      <w:bookmarkEnd w:id="4"/>
      <w:bookmarkEnd w:id="5"/>
    </w:p>
    <w:p w14:paraId="21914748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2.1. Ogólne wymagania dotyczące materiałów</w:t>
      </w:r>
    </w:p>
    <w:p w14:paraId="5D685DE9" w14:textId="77777777" w:rsidR="002558EF" w:rsidRPr="00CC5884" w:rsidRDefault="002558EF" w:rsidP="002558EF">
      <w:pPr>
        <w:rPr>
          <w:sz w:val="20"/>
          <w:szCs w:val="20"/>
        </w:rPr>
      </w:pPr>
      <w:r w:rsidRPr="00CC5884">
        <w:rPr>
          <w:b/>
          <w:sz w:val="20"/>
          <w:szCs w:val="20"/>
        </w:rPr>
        <w:tab/>
      </w:r>
      <w:r w:rsidRPr="00CC5884">
        <w:rPr>
          <w:sz w:val="20"/>
          <w:szCs w:val="20"/>
        </w:rPr>
        <w:t>Ogólne wymagania dotyczące materiałów, ich pozyskiwania i składowania, podano w OST D-M-00.00.00 „Wymagania ogólne” [1] pkt 2.</w:t>
      </w:r>
    </w:p>
    <w:p w14:paraId="07E79BCC" w14:textId="77777777" w:rsidR="002558EF" w:rsidRPr="00CC5884" w:rsidRDefault="002558EF" w:rsidP="002558EF">
      <w:pPr>
        <w:rPr>
          <w:sz w:val="36"/>
          <w:szCs w:val="36"/>
        </w:rPr>
      </w:pPr>
      <w:r w:rsidRPr="00CC5884">
        <w:rPr>
          <w:szCs w:val="21"/>
        </w:rPr>
        <w:t>2.2. Materiały do wykonania robót</w:t>
      </w:r>
    </w:p>
    <w:p w14:paraId="5B50A704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2.2.1. </w:t>
      </w:r>
      <w:r w:rsidRPr="00CC5884">
        <w:rPr>
          <w:szCs w:val="21"/>
        </w:rPr>
        <w:t xml:space="preserve"> Zgodność materiałów z dokumentacją projektową </w:t>
      </w:r>
    </w:p>
    <w:p w14:paraId="4024305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Materiały do wykonania robót powinny być zgodne z ustaleniami dokumentacji projektowej lub ST.</w:t>
      </w:r>
    </w:p>
    <w:p w14:paraId="475FB5C0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2.2.2. </w:t>
      </w:r>
      <w:r w:rsidRPr="00CC5884">
        <w:rPr>
          <w:szCs w:val="21"/>
        </w:rPr>
        <w:t>Materiały do wykonania utwardzonego pobocza</w:t>
      </w:r>
    </w:p>
    <w:p w14:paraId="3DCC646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Materiałami stosowanymi przy wykonywaniu utwardzonego pobocza są: piasek, kruszywo łamane i woda.</w:t>
      </w:r>
    </w:p>
    <w:p w14:paraId="6534EBEE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2.2.3. </w:t>
      </w:r>
      <w:r w:rsidRPr="00CC5884">
        <w:rPr>
          <w:szCs w:val="21"/>
        </w:rPr>
        <w:t>Piasek</w:t>
      </w:r>
    </w:p>
    <w:p w14:paraId="3A4BF6D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W przypadku występowania w konstrukcji utwardzonego pobocza warstwy odsączającej, odcinającej i innej, wykonanej przy użyciu piasku, to powinien on odpowiadać wymaganiom PN-EN 13242:2004 [4] lub PN-EN 13285:2004 [5].</w:t>
      </w:r>
    </w:p>
    <w:p w14:paraId="0F4A10E5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2.2.4. </w:t>
      </w:r>
      <w:r w:rsidRPr="00CC5884">
        <w:rPr>
          <w:szCs w:val="21"/>
        </w:rPr>
        <w:t>Kruszywo</w:t>
      </w:r>
    </w:p>
    <w:p w14:paraId="2776D2C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Do utwardzenia pobocza należy stosować kruszywo łamane o uziarnieniu  0÷25 mm, odpowiadające wymaganiom PN-EN 13242:2004 [4] lub PN-EN 13285:2004 [5].</w:t>
      </w:r>
    </w:p>
    <w:p w14:paraId="1481990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Kruszywo powinno być jednorodne, bez zanieczyszczeń obcych i bez domieszek </w:t>
      </w:r>
      <w:r w:rsidRPr="00CC5884">
        <w:rPr>
          <w:szCs w:val="21"/>
        </w:rPr>
        <w:lastRenderedPageBreak/>
        <w:t>gliny. Zaleca się użycie kruszywa o jasnej barwie.</w:t>
      </w:r>
    </w:p>
    <w:p w14:paraId="4AD86EDE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2.2.5. </w:t>
      </w:r>
      <w:r w:rsidRPr="00CC5884">
        <w:rPr>
          <w:szCs w:val="21"/>
        </w:rPr>
        <w:t>Woda</w:t>
      </w:r>
    </w:p>
    <w:p w14:paraId="6C2225D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Należy stosować przy wałowaniu nawierzchni każdą czystą wodę z rzek, jezior, stawów i innych zbiorników otwartych oraz wodę studzienną i wodociągową. Nie należy stosować wody z widocznymi zanieczyszczeniami, np. śmieciami, roślinnością wodną, odpadami przemysłowymi, kanalizacyjnymi itp.</w:t>
      </w:r>
    </w:p>
    <w:p w14:paraId="7513B313" w14:textId="77777777" w:rsidR="002558EF" w:rsidRPr="00CC5884" w:rsidRDefault="002558EF" w:rsidP="002558EF">
      <w:pPr>
        <w:rPr>
          <w:szCs w:val="21"/>
        </w:rPr>
      </w:pPr>
      <w:r w:rsidRPr="00CC5884">
        <w:rPr>
          <w:b/>
          <w:szCs w:val="21"/>
        </w:rPr>
        <w:t xml:space="preserve">2.2.6. </w:t>
      </w:r>
      <w:r w:rsidRPr="00CC5884">
        <w:rPr>
          <w:szCs w:val="21"/>
        </w:rPr>
        <w:t>Składowanie kruszyw</w:t>
      </w:r>
    </w:p>
    <w:p w14:paraId="0FC9E2C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Okresowo składowane kruszywa powinny być zabezpieczone przed zanieczyszczeniem i zmieszaniem z innymi materiałami kamiennymi. Podłoże w miejscu składowania kruszyw powinno być równe, utwardzone i odwodnione.</w:t>
      </w:r>
    </w:p>
    <w:p w14:paraId="4F0EB8E6" w14:textId="77777777" w:rsidR="002558EF" w:rsidRPr="00CC5884" w:rsidRDefault="002558EF" w:rsidP="002558EF">
      <w:pPr>
        <w:rPr>
          <w:szCs w:val="21"/>
        </w:rPr>
      </w:pPr>
      <w:bookmarkStart w:id="6" w:name="_Toc210107779"/>
      <w:bookmarkStart w:id="7" w:name="_Toc208892383"/>
      <w:bookmarkStart w:id="8" w:name="_Toc174333135"/>
      <w:bookmarkStart w:id="9" w:name="_Toc116360494"/>
      <w:bookmarkStart w:id="10" w:name="_Toc113935589"/>
      <w:bookmarkStart w:id="11" w:name="_Toc211316614"/>
      <w:r w:rsidRPr="00CC5884">
        <w:rPr>
          <w:szCs w:val="21"/>
        </w:rPr>
        <w:t xml:space="preserve">3. </w:t>
      </w:r>
      <w:bookmarkEnd w:id="6"/>
      <w:bookmarkEnd w:id="7"/>
      <w:bookmarkEnd w:id="8"/>
      <w:bookmarkEnd w:id="9"/>
      <w:bookmarkEnd w:id="10"/>
      <w:r w:rsidRPr="00CC5884">
        <w:rPr>
          <w:szCs w:val="21"/>
        </w:rPr>
        <w:t>SPRZĘT</w:t>
      </w:r>
      <w:bookmarkEnd w:id="11"/>
    </w:p>
    <w:p w14:paraId="02D8350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3.1. Ogólne wymagania dotyczące sprzętu</w:t>
      </w:r>
    </w:p>
    <w:p w14:paraId="3B76655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Ogólne wymagania dotyczące sprzętu podano w OST  D-M-00.00.00 „Wymagania ogólne” [1] pkt 3.</w:t>
      </w:r>
    </w:p>
    <w:p w14:paraId="4819BB3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3.2. Sprzęt stosowany do wykonania robót</w:t>
      </w:r>
    </w:p>
    <w:p w14:paraId="1E30990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Przy wykonywaniu robót Wykonawca w zależności od potrzeb, powinien wykazać się możliwością korzystania ze sprzętu dostosowanego do przyjętej metody robót, jak:</w:t>
      </w:r>
    </w:p>
    <w:p w14:paraId="496A9BA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mieszarki stacjonarne do wytwarzania mieszanki kruszyw, wyposażone w urządzenia dozujące wodę (mieszarki powinny zapewnić wytworzenie jednorodnej mieszanki o wilgotności optymalnej, chyba że producent kruszywa zapewnia dostawę jednorodnej mieszanki o wymaganym uziarnieniu i odpowiedniej wilgotności),</w:t>
      </w:r>
    </w:p>
    <w:p w14:paraId="19E1F27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równiarki albo układarki do rozkładania mieszanki kruszywa,</w:t>
      </w:r>
    </w:p>
    <w:p w14:paraId="0C1EA94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walce lub płytowe zagęszczarki wibracyjne,</w:t>
      </w:r>
    </w:p>
    <w:p w14:paraId="0F51B70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przewoźne zbiorniki na wodę do zwilżania mieszanki, wyposażone w urządzenia do równomiernego i kontrolowanego dozowania wody,</w:t>
      </w:r>
    </w:p>
    <w:p w14:paraId="4CE863E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koparki do wykonania koryta, w przypadku utwardzania istniejącego pobocza gruntowego.</w:t>
      </w:r>
    </w:p>
    <w:p w14:paraId="0A4CC01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Należy korzystać ze sprzętu, który powinien być dostosowany swoimi wymiarami do warunków pracy w korycie, przygotowanym do ułożenia konstrukcji utwardzonego pobocza.</w:t>
      </w:r>
    </w:p>
    <w:p w14:paraId="3D72679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Sprzęt powinien odpowiadać wymaganiom określonym w dokumentacji projektowej, ST, instrukcjach producentów lub propozycji Wykonawcy i powinien być zaakceptowany przez Inżyniera.</w:t>
      </w:r>
    </w:p>
    <w:p w14:paraId="68FD8E0E" w14:textId="77777777" w:rsidR="002558EF" w:rsidRPr="00CC5884" w:rsidRDefault="002558EF" w:rsidP="002558EF">
      <w:pPr>
        <w:rPr>
          <w:szCs w:val="21"/>
        </w:rPr>
      </w:pPr>
      <w:bookmarkStart w:id="12" w:name="_Toc211316615"/>
      <w:bookmarkStart w:id="13" w:name="_Toc210107780"/>
      <w:bookmarkStart w:id="14" w:name="_Toc208892384"/>
      <w:bookmarkStart w:id="15" w:name="_Toc174333136"/>
      <w:bookmarkStart w:id="16" w:name="_Toc116360495"/>
      <w:bookmarkStart w:id="17" w:name="_Toc113935590"/>
      <w:bookmarkStart w:id="18" w:name="_Toc73770658"/>
      <w:bookmarkStart w:id="19" w:name="_Toc63568300"/>
      <w:bookmarkStart w:id="20" w:name="_Toc51995832"/>
      <w:bookmarkStart w:id="21" w:name="_Toc46643999"/>
      <w:bookmarkStart w:id="22" w:name="_Toc424534468"/>
      <w:r w:rsidRPr="00CC5884">
        <w:rPr>
          <w:szCs w:val="21"/>
        </w:rPr>
        <w:t>4. TRANSPORT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23FACB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4.1. Ogólne wymagania dotyczące transportu </w:t>
      </w:r>
    </w:p>
    <w:p w14:paraId="3FD2BFF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     Ogólne wymagania dotyczące transportu podano w OST D-M-00.00.00 „Wymagania ogólne” [1]  pkt 4.</w:t>
      </w:r>
    </w:p>
    <w:p w14:paraId="131ABFB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4.2. Transport materiałów</w:t>
      </w:r>
    </w:p>
    <w:p w14:paraId="0438D128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Materiały sypkie (kruszywa) można przewozić dowolnymi środkami transportu, w warunkach zabezpieczających je przed  zanieczyszczeniem, zmieszaniem z innymi materiałami i nadmiernym zawilgoceniem.</w:t>
      </w:r>
    </w:p>
    <w:p w14:paraId="12BC9592" w14:textId="77777777" w:rsidR="002558EF" w:rsidRPr="00CC5884" w:rsidRDefault="002558EF" w:rsidP="002558EF">
      <w:pPr>
        <w:rPr>
          <w:szCs w:val="21"/>
        </w:rPr>
      </w:pPr>
      <w:bookmarkStart w:id="23" w:name="_Toc211316616"/>
      <w:bookmarkStart w:id="24" w:name="_Toc210107781"/>
      <w:bookmarkStart w:id="25" w:name="_Toc208892385"/>
      <w:bookmarkStart w:id="26" w:name="_Toc174333137"/>
      <w:bookmarkStart w:id="27" w:name="_Toc116360496"/>
      <w:bookmarkStart w:id="28" w:name="_Toc113935591"/>
      <w:bookmarkStart w:id="29" w:name="_Toc73770659"/>
      <w:bookmarkStart w:id="30" w:name="_Toc63568301"/>
      <w:bookmarkStart w:id="31" w:name="_Toc51995833"/>
      <w:r w:rsidRPr="00CC5884">
        <w:rPr>
          <w:szCs w:val="21"/>
        </w:rPr>
        <w:t>5. WYKONANIE ROBÓT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7C2B1B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5.1. Ogólne zasady wykonania robót</w:t>
      </w:r>
    </w:p>
    <w:p w14:paraId="3327C13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     Ogólne zasady wykonania robót podano w OST D-M-00.00.00 „Wymagania ogólne” [1] pkt 5.</w:t>
      </w:r>
    </w:p>
    <w:p w14:paraId="172C6D18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5.2. Zasady wykonywania robót</w:t>
      </w:r>
    </w:p>
    <w:p w14:paraId="1E61ECD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Sposób wykonania robót powinny być zgodne z dokumentacją projektową i ST. W przypadku braku wystarczających danych można korzystać z ustaleń podanych w niniejszej specyfikacji oraz z informacji podanych w załącznikach.</w:t>
      </w:r>
    </w:p>
    <w:p w14:paraId="2DC7B3A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Podstawowe czynności przy wykonywaniu robót obejmują:</w:t>
      </w:r>
    </w:p>
    <w:p w14:paraId="61439BF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1. </w:t>
      </w:r>
      <w:r w:rsidRPr="00CC5884">
        <w:rPr>
          <w:sz w:val="14"/>
          <w:szCs w:val="14"/>
        </w:rPr>
        <w:t xml:space="preserve">   </w:t>
      </w:r>
      <w:r w:rsidRPr="00CC5884">
        <w:rPr>
          <w:szCs w:val="21"/>
        </w:rPr>
        <w:t xml:space="preserve">roboty przygotowawcze, </w:t>
      </w:r>
    </w:p>
    <w:p w14:paraId="79C3BA4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lastRenderedPageBreak/>
        <w:t xml:space="preserve">2. </w:t>
      </w:r>
      <w:r w:rsidRPr="00CC5884">
        <w:rPr>
          <w:sz w:val="14"/>
          <w:szCs w:val="14"/>
        </w:rPr>
        <w:t xml:space="preserve">   </w:t>
      </w:r>
      <w:r w:rsidRPr="00CC5884">
        <w:rPr>
          <w:szCs w:val="21"/>
        </w:rPr>
        <w:t>wykonanie koryta,</w:t>
      </w:r>
    </w:p>
    <w:p w14:paraId="64CD5A2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3. </w:t>
      </w:r>
      <w:r w:rsidRPr="00CC5884">
        <w:rPr>
          <w:sz w:val="14"/>
          <w:szCs w:val="14"/>
        </w:rPr>
        <w:t xml:space="preserve">   </w:t>
      </w:r>
      <w:r w:rsidRPr="00CC5884">
        <w:rPr>
          <w:szCs w:val="21"/>
        </w:rPr>
        <w:t>ułożenie nawierzchni utwardzonego pobocza (wytworzenie i wbudowanie mieszanki),</w:t>
      </w:r>
    </w:p>
    <w:p w14:paraId="350884D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4. </w:t>
      </w:r>
      <w:r w:rsidRPr="00CC5884">
        <w:rPr>
          <w:sz w:val="14"/>
          <w:szCs w:val="14"/>
        </w:rPr>
        <w:t xml:space="preserve">   </w:t>
      </w:r>
      <w:r w:rsidRPr="00CC5884">
        <w:rPr>
          <w:szCs w:val="21"/>
        </w:rPr>
        <w:t>roboty wykończeniowe.</w:t>
      </w:r>
    </w:p>
    <w:p w14:paraId="22DC79C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5.3. Roboty przygotowawcze</w:t>
      </w:r>
    </w:p>
    <w:p w14:paraId="7F37B88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Przed przystąpieniem do robót należy, na podstawie dokumentacji projektowej,  ST lub wskazań Inżyniera:</w:t>
      </w:r>
    </w:p>
    <w:p w14:paraId="17AFF87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ustalić lokalizację terenu robót,</w:t>
      </w:r>
    </w:p>
    <w:p w14:paraId="54DB3E1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przeprowadzić obliczenia i pomiary geodezyjne niezbędne do szczegółowego wytyczenia robót oraz ustalenia danych wysokościowych,</w:t>
      </w:r>
    </w:p>
    <w:p w14:paraId="79EA3B9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 xml:space="preserve">usunąć przeszkody, np. elementy dróg, ew. słupki, </w:t>
      </w:r>
      <w:proofErr w:type="spellStart"/>
      <w:r w:rsidRPr="00CC5884">
        <w:rPr>
          <w:szCs w:val="21"/>
        </w:rPr>
        <w:t>zatrawienie</w:t>
      </w:r>
      <w:proofErr w:type="spellEnd"/>
      <w:r w:rsidRPr="00CC5884">
        <w:rPr>
          <w:szCs w:val="21"/>
        </w:rPr>
        <w:t xml:space="preserve"> itd.,</w:t>
      </w:r>
    </w:p>
    <w:p w14:paraId="29FE03E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ew. splantować pobocze istniejące,</w:t>
      </w:r>
    </w:p>
    <w:p w14:paraId="10E77C5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zgromadzić wszystkie materiały potrzebne do rozpoczęcia budowy.</w:t>
      </w:r>
    </w:p>
    <w:p w14:paraId="1B9B13B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Zaleca się korzystanie z ustaleń OST D-01.00.00 [2] w zakresie niezbędnym do wykonania robót przygotowawczych oraz z ustaleń OST D-02.00.00 [3] przy występowaniu robót ziemnych.</w:t>
      </w:r>
    </w:p>
    <w:p w14:paraId="27512196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5.4. Wykonanie koryta i przygotowanie podłoża</w:t>
      </w:r>
    </w:p>
    <w:p w14:paraId="6E824ED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Koryto wykonuje się w przypadku utwardzania pobocza istniejącego gruntowego.</w:t>
      </w:r>
    </w:p>
    <w:p w14:paraId="18181FD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Koryto powinno być wykonane bezpośrednio przed rozpoczęciem robót związanych z wykonaniem nawierzchni utwardzonego pobocza. Wcześniejsze wykonanie koryta jest możliwe wyłącznie za zgodą Inżyniera, w korzystnych warunkach atmosferycznych.</w:t>
      </w:r>
    </w:p>
    <w:p w14:paraId="7089834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Koryto można wykonywać ręcznie, gdy jego szerokość nie pozwala na zastosowanie posiadanych maszyn. Rodzaj sprzętu, a w szczególności jego moc należy dostosować do rodzaju gruntu, w którym prowadzone są roboty i do trudności jego odspojenia.</w:t>
      </w:r>
    </w:p>
    <w:p w14:paraId="667EC37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Grunt odspojony w czasie wykonywania koryta powinien być wykorzystany zgodnie z ustaleniami dokumentacji projektowej i ST, tj. wbudowany w nasyp lub odwieziony na odkład w miejsce wskazane lub zaaprobowane przez Inżyniera.</w:t>
      </w:r>
    </w:p>
    <w:p w14:paraId="281C8EC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Przed przystąpieniem do profilowania dna koryta, podłoże powinno być oczyszczone z wszelkich zanieczyszczeń. Po oczyszczeniu powierzchni podłoża należy sprawdzić, czy istniejące rzędne terenu umożliwiają uzyskanie po profilowaniu zaprojektowanych rzędnych podłoża.</w:t>
      </w:r>
    </w:p>
    <w:p w14:paraId="6A9F5CF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Zaleca się, aby rzędne terenu przed profilowaniem były o co najmniej 5 cm wyższe niż projektowane rzędne podłoża. Jeżeli powyższy warunek nie jest spełniony i występują zaniżenia poziomu w podłożu przewidzianym do profilowania, Wykonawca powinien spulchnić podłoże na głębokość zaakceptowaną przez Inżyniera, dowieźć dodatkowy grunt, spełniający wymagania obowiązujące dla górnej strefy korpusu, w ilości koniecznej do uzyskania wymaganych rzędnych wysokościowych i zagęścić warstwę do uzyskania wskaźnika zagęszczenia 1,00.</w:t>
      </w:r>
    </w:p>
    <w:p w14:paraId="7EBF1BD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Profilowanie można wykonać ręcznie lub sprzętem dostosowanym do szerokości koryta. Ścięty grunt powinien być wykorzystany w robotach ziemnych lub w inny sposób zaakceptowany przez Inżyniera.</w:t>
      </w:r>
    </w:p>
    <w:p w14:paraId="049B0CD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Bezpośrednio po profilowaniu podłoża należy przystąpić do jego zagęszczania, które należy kontynuować do osiągnięcia wskaźnika zagęszczenia nie mniejszego od 1,00.</w:t>
      </w:r>
    </w:p>
    <w:p w14:paraId="4B47C3B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Wilgotność gruntu podłoża podczas zagęszczania powinna być równa wilgotności optymalnej, z tolerancją od -20% do +10%.</w:t>
      </w:r>
    </w:p>
    <w:p w14:paraId="1B2BD46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Koryto po wyprofilowaniu i zagęszczeniu powinno być utrzymane w dobrym stanie.</w:t>
      </w:r>
    </w:p>
    <w:p w14:paraId="7B80C24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Jeżeli po wykonaniu robót związanych z profilowaniem i zagęszczeniem podłoża nastąpi przerwa w robotach i Wykonawca nie przystąpi natychmiast do układania nawierzchni, to powinien on zabezpieczyć podłoże przed nadmiernym zawilgoceniem, na przykład przez rozłożenie folii lub w inny sposób zaakceptowany przez Inżyniera.</w:t>
      </w:r>
    </w:p>
    <w:p w14:paraId="15AAA4A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Jeżeli podłoże uległo nadmiernemu zawilgoceniu, to do układania nawierzchni można </w:t>
      </w:r>
      <w:r w:rsidRPr="00CC5884">
        <w:rPr>
          <w:szCs w:val="21"/>
        </w:rPr>
        <w:lastRenderedPageBreak/>
        <w:t>przystąpić dopiero po jego naturalnym osuszeniu.</w:t>
      </w:r>
    </w:p>
    <w:p w14:paraId="4E7B08E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5.5. Wytwarzanie mieszanki kruszywa</w:t>
      </w:r>
    </w:p>
    <w:p w14:paraId="6111AA9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Mieszankę kruszywa o ściśle określonym uziarnieniu i wilgotności optymalnej należy wytwarzać w mieszarkach stacjonarnych gwarantujących otrzymanie jednorodnej mieszanki. Ze względu na konieczność zapewnienia jednorodności, tylko w wyjątkowych przypadkach Inżynier może dopuścić do wytwarzania mieszanki przez mieszanie poszczególnych frakcji na drodze. Mieszanka po wyprodukowaniu powinna być od razu transportowana na miejsce wbudowania w sposób przeciwdziałający rozsegregowaniu i wysychaniu.</w:t>
      </w:r>
    </w:p>
    <w:p w14:paraId="7DCB05F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5.6. Wbudowanie i zagęszczenie mieszanki kruszywa</w:t>
      </w:r>
    </w:p>
    <w:p w14:paraId="70B02EF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Mieszanka kruszywa powinna być rozkładana w warstwie o jednakowej grubości, przy pomocy układarki lub równiarki, z zachowaniem wymaganych spadków i rzędnych wysokościowych. Zaleca się, aby grubość pojedynczo układanej warstwy nie przekraczała 20 cm po zagęszczeniu. Rozpoczęcie budowy następnej warstwy może nastąpić po odbiorze poprzedniej warstwy przez Inżyniera. W miejscach, gdzie widoczna jest segregacja kruszywa, należy przed zagęszczeniem wymienić kruszywo na materiał o odpowiednich właściwościach.</w:t>
      </w:r>
    </w:p>
    <w:p w14:paraId="3206A4F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bieżąco przez spulchnienie warstwy kruszywa i dodanie bądź usunięcie materiału, aż do otrzymania równej powierzchni. Zagęszczenie należy kontynuować do osiągnięcia wskaźnika zagęszczenia nie mniejszego niż 1,0 według normalnej próby </w:t>
      </w:r>
      <w:proofErr w:type="spellStart"/>
      <w:r w:rsidRPr="00CC5884">
        <w:rPr>
          <w:szCs w:val="21"/>
        </w:rPr>
        <w:t>Proctora</w:t>
      </w:r>
      <w:proofErr w:type="spellEnd"/>
      <w:r w:rsidRPr="00CC5884">
        <w:rPr>
          <w:szCs w:val="21"/>
        </w:rPr>
        <w:t xml:space="preserve">, przeprowadzonej według </w:t>
      </w:r>
      <w:r w:rsidRPr="00CC5884">
        <w:rPr>
          <w:szCs w:val="21"/>
        </w:rPr>
        <w:tab/>
        <w:t xml:space="preserve">PN-B-04481:1988 [6]. Do zagęszczenia zaleca się stosowanie maszyn (np. walców, zagęszczarek płytowych) o szerokości nie większej niż szerokość utwardzonego pobocza. </w:t>
      </w:r>
    </w:p>
    <w:p w14:paraId="43F2FBC8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Wilgotność mieszanki kruszywa podczas zagęszczania powinna odpowiadać wilgotności optymalnej z tolerancją ± 2%. Materiał nadmiernie nawilgocony, powinien zostać osuszony przez mieszanie i napowietrzanie. W przypadku, gdy wilgotność mieszanki kruszywa jest niższa od optymalnej, mieszanka powinna być zwilżona określoną ilością wody i równomiernie wymieszana. </w:t>
      </w:r>
    </w:p>
    <w:p w14:paraId="5BB20B0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Przy wbudowywaniu i zagęszczaniu mieszanki kruszywa na utwardzonym poboczu należy zwrócić szczególną uwagę na właściwe jego wykonanie przy krawędzi jezdni. Styk jezdni i utwardzonego pobocza powinien być równy i szczelny.</w:t>
      </w:r>
    </w:p>
    <w:p w14:paraId="585D466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 5.7. Roboty wykończeniowe</w:t>
      </w:r>
    </w:p>
    <w:p w14:paraId="0D6204B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Roboty wykończeniowe powinny być zgodne z dokumentacją projektową i ST. Do robót wykończeniowych należą prace związane z dostosowaniem wykonanych robót do istniejących warunków terenowych, takie jak:</w:t>
      </w:r>
    </w:p>
    <w:p w14:paraId="045B44D6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wyrównanie poziomu utwardzonego pobocza i gruntowego pobocza z ewentualnym splantowaniem istniejącego gruntowego pobocza,</w:t>
      </w:r>
    </w:p>
    <w:p w14:paraId="3C6C783F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 xml:space="preserve">odtworzenie przeszkód czasowo usuniętych, </w:t>
      </w:r>
    </w:p>
    <w:p w14:paraId="284DCCB3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 xml:space="preserve">niezbędne uzupełnienia zniszczonej w czasie robót roślinności, np. </w:t>
      </w:r>
      <w:proofErr w:type="spellStart"/>
      <w:r w:rsidRPr="00CC5884">
        <w:rPr>
          <w:szCs w:val="21"/>
        </w:rPr>
        <w:t>zatrawienia</w:t>
      </w:r>
      <w:proofErr w:type="spellEnd"/>
      <w:r w:rsidRPr="00CC5884">
        <w:rPr>
          <w:szCs w:val="21"/>
        </w:rPr>
        <w:t xml:space="preserve">, </w:t>
      </w:r>
    </w:p>
    <w:p w14:paraId="4BB2B143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roboty porządkujące otoczenie terenu robót.</w:t>
      </w:r>
    </w:p>
    <w:p w14:paraId="2147470F" w14:textId="77777777" w:rsidR="002558EF" w:rsidRPr="00CC5884" w:rsidRDefault="002558EF" w:rsidP="002558EF">
      <w:pPr>
        <w:rPr>
          <w:szCs w:val="21"/>
        </w:rPr>
      </w:pPr>
      <w:bookmarkStart w:id="32" w:name="_Toc211316617"/>
      <w:bookmarkStart w:id="33" w:name="_Toc199904824"/>
      <w:bookmarkStart w:id="34" w:name="_Toc198436140"/>
      <w:bookmarkStart w:id="35" w:name="_Toc179183771"/>
      <w:bookmarkStart w:id="36" w:name="_Toc174333138"/>
      <w:bookmarkStart w:id="37" w:name="_Toc25379401"/>
      <w:bookmarkStart w:id="38" w:name="_Toc25373385"/>
      <w:bookmarkStart w:id="39" w:name="_Toc25128887"/>
      <w:bookmarkStart w:id="40" w:name="_Toc24955913"/>
      <w:bookmarkStart w:id="41" w:name="_Toc421940501"/>
      <w:r w:rsidRPr="00CC5884">
        <w:rPr>
          <w:szCs w:val="21"/>
        </w:rPr>
        <w:t>6. kontrola jakości robót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67DDD9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6.1. Ogólne zasady kontroli jakości robót</w:t>
      </w:r>
    </w:p>
    <w:p w14:paraId="65ABE81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Ogólne zasady kontroli jakości robót podano w OST   D-M-00.00.00 „Wymagania ogólne” [1] pkt 6.</w:t>
      </w:r>
    </w:p>
    <w:p w14:paraId="0EF29CB6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6.2. Badania przed przystąpieniem do robót</w:t>
      </w:r>
    </w:p>
    <w:p w14:paraId="0C729F0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Przed przystąpieniem do robót Wykonawca powinien:</w:t>
      </w:r>
    </w:p>
    <w:p w14:paraId="244A9546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uzyskać wymagane dokumenty, dopuszczające wyroby budowlane do obrotu i powszechnego stosowania (aprobaty techniczne, certyfikaty zgodności, deklaracje zgodności, ew. badania materiałów wykonane przez dostawców itp.),</w:t>
      </w:r>
    </w:p>
    <w:p w14:paraId="5C4D62D6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lastRenderedPageBreak/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ew. wykonać własne badania właściwości materiałów przeznaczonych do wykonania robót, określone przez Inżyniera,</w:t>
      </w:r>
    </w:p>
    <w:p w14:paraId="1FD5A5BA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sprawdzić cechy zewnętrzne gotowych materiałów z tworzyw i prefabrykowanych.</w:t>
      </w:r>
    </w:p>
    <w:p w14:paraId="62439F5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Wszystkie dokumenty oraz wyniki badań Wykonawca przedstawia Inżynierowi do akceptacji.</w:t>
      </w:r>
    </w:p>
    <w:p w14:paraId="5743E2F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6.3. Badania w czasie robót</w:t>
      </w:r>
    </w:p>
    <w:p w14:paraId="6266A67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Częstotliwość oraz zakres badań i pomiarów, które należy wykonać w czasie robót podaje tablica 1. </w:t>
      </w:r>
    </w:p>
    <w:p w14:paraId="170E39A5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Tablica 1. Częstotliwość oraz zakres badań i pomiarów w czasie robót</w:t>
      </w:r>
    </w:p>
    <w:tbl>
      <w:tblPr>
        <w:tblW w:w="7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1487"/>
        <w:gridCol w:w="2268"/>
      </w:tblGrid>
      <w:tr w:rsidR="002558EF" w:rsidRPr="00CC5884" w14:paraId="322DAE62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C62AD0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65260F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Wyszczególnienie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71E5A4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Częstotliwość badań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839666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Wartości dopuszczalne</w:t>
            </w:r>
          </w:p>
        </w:tc>
      </w:tr>
      <w:tr w:rsidR="002558EF" w:rsidRPr="00CC5884" w14:paraId="42F2D768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87ABA9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D145DD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Lokalizacja i zgodność granic terenu robót z dokumentacją projektową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F721677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1 raz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6D48B5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 i dokumentacji projektowej </w:t>
            </w:r>
          </w:p>
        </w:tc>
      </w:tr>
      <w:tr w:rsidR="002558EF" w:rsidRPr="00CC5884" w14:paraId="07A67D27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93E9734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3BB1B4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Roboty przygotowawcze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A1D447F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1 raz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D98A96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5.3</w:t>
            </w:r>
          </w:p>
        </w:tc>
      </w:tr>
      <w:tr w:rsidR="002558EF" w:rsidRPr="00CC5884" w14:paraId="7DBF64EB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91C00EF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5C9A67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Wykonanie koryta i przygotowanie podłoża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59C497F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Bieżąco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7BC4C14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5.4</w:t>
            </w:r>
          </w:p>
        </w:tc>
      </w:tr>
      <w:tr w:rsidR="002558EF" w:rsidRPr="00CC5884" w14:paraId="45455F9D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8F7A6A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5815D7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Wytwarzanie mieszanki kruszywa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4AB112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Jw.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77E2D2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5.5</w:t>
            </w:r>
          </w:p>
        </w:tc>
      </w:tr>
      <w:tr w:rsidR="002558EF" w:rsidRPr="00CC5884" w14:paraId="1EC1A62F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171F543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DABC0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Wbudowanie i zagęszczanie mieszanki kruszywa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6CCE61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Jw.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6365E04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5.6</w:t>
            </w:r>
          </w:p>
        </w:tc>
      </w:tr>
      <w:tr w:rsidR="002558EF" w:rsidRPr="00CC5884" w14:paraId="6A79BEB6" w14:textId="77777777" w:rsidTr="0014302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6110DC1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494CD3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Wykonanie robót wykończeniowych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151ED5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Ocena ciągła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4CA599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 xml:space="preserve">Wg </w:t>
            </w:r>
            <w:proofErr w:type="spellStart"/>
            <w:r w:rsidRPr="00CC5884">
              <w:rPr>
                <w:szCs w:val="21"/>
              </w:rPr>
              <w:t>pktu</w:t>
            </w:r>
            <w:proofErr w:type="spellEnd"/>
            <w:r w:rsidRPr="00CC5884">
              <w:rPr>
                <w:szCs w:val="21"/>
              </w:rPr>
              <w:t xml:space="preserve"> 5.7</w:t>
            </w:r>
          </w:p>
        </w:tc>
      </w:tr>
    </w:tbl>
    <w:p w14:paraId="5B964E1E" w14:textId="77777777" w:rsidR="002558EF" w:rsidRPr="00CC5884" w:rsidRDefault="002558EF" w:rsidP="002558EF">
      <w:pPr>
        <w:rPr>
          <w:szCs w:val="21"/>
        </w:rPr>
      </w:pPr>
      <w:bookmarkStart w:id="42" w:name="_Toc199904825"/>
      <w:bookmarkStart w:id="43" w:name="_Toc198436141"/>
      <w:bookmarkStart w:id="44" w:name="_Toc179183772"/>
      <w:bookmarkStart w:id="45" w:name="_Toc174333139"/>
      <w:bookmarkStart w:id="46" w:name="_Toc25379402"/>
      <w:bookmarkStart w:id="47" w:name="_Toc25373386"/>
      <w:bookmarkStart w:id="48" w:name="_Toc25128888"/>
      <w:bookmarkStart w:id="49" w:name="_Toc24955914"/>
      <w:bookmarkStart w:id="50" w:name="_Toc421940502"/>
      <w:r w:rsidRPr="00CC5884">
        <w:rPr>
          <w:szCs w:val="21"/>
        </w:rPr>
        <w:t>6.4. Badania po zakończeniu robót\</w:t>
      </w:r>
    </w:p>
    <w:p w14:paraId="303FB45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Wykonane utwardzone pobocze powinno spełniać następujące wymagania:</w:t>
      </w:r>
    </w:p>
    <w:p w14:paraId="16F6F0A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szerokość utwardzonego pobocza może się różnić od szerokości projektowanej nie więcej niż +10 cm i -5 cm,</w:t>
      </w:r>
    </w:p>
    <w:p w14:paraId="1A7A4E1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nierówności pobocza mierzone 4-metrową łatą nie mogą przekraczać 10 mm,</w:t>
      </w:r>
    </w:p>
    <w:p w14:paraId="6111CC7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spadki poprzeczne powinny być zgodne z dokumentacją projektową z tolerancją  ± 0,5%,</w:t>
      </w:r>
    </w:p>
    <w:p w14:paraId="02DF1AA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różnice wysokościowe z rzędnymi projektowanymi nie powinny przekraczać +1 cm,  -2 cm,</w:t>
      </w:r>
    </w:p>
    <w:p w14:paraId="440F1FF6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grubość utwardzonego pobocza nie może się różnić od grubości projektowanej o  ± 10%.</w:t>
      </w:r>
    </w:p>
    <w:p w14:paraId="1349F44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Zaleca się badać grubość utwardzonego pobocza w 3 punktach, lecz nie rzadziej niż raz na 2000 m</w:t>
      </w:r>
      <w:r w:rsidRPr="00CC5884">
        <w:rPr>
          <w:szCs w:val="21"/>
          <w:vertAlign w:val="superscript"/>
        </w:rPr>
        <w:t>2</w:t>
      </w:r>
      <w:r w:rsidRPr="00CC5884">
        <w:rPr>
          <w:szCs w:val="21"/>
        </w:rPr>
        <w:t>, a pozostałe cechy co 100 m wzdłuż osi drogi.</w:t>
      </w:r>
    </w:p>
    <w:p w14:paraId="172D9626" w14:textId="77777777" w:rsidR="002558EF" w:rsidRPr="00CC5884" w:rsidRDefault="002558EF" w:rsidP="002558EF">
      <w:pPr>
        <w:rPr>
          <w:szCs w:val="21"/>
        </w:rPr>
      </w:pPr>
      <w:bookmarkStart w:id="51" w:name="_Toc211316618"/>
      <w:r w:rsidRPr="00CC5884">
        <w:rPr>
          <w:szCs w:val="21"/>
        </w:rPr>
        <w:t xml:space="preserve">7.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CC5884">
        <w:rPr>
          <w:szCs w:val="21"/>
        </w:rPr>
        <w:t>OBMIAR ROBÓT</w:t>
      </w:r>
    </w:p>
    <w:p w14:paraId="4AE5EC6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7.1. Ogólne zasady obmiaru robót</w:t>
      </w:r>
    </w:p>
    <w:p w14:paraId="71ABC30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Ogólne zasady obmiaru robót podano w OST  D-M-00.00.00 „Wymagania ogólne” [1] pkt 7.</w:t>
      </w:r>
    </w:p>
    <w:p w14:paraId="65669F1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7.2. Jednostka obmiarowa</w:t>
      </w:r>
    </w:p>
    <w:p w14:paraId="2CF124D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Jednostką obmiarową jest m</w:t>
      </w:r>
      <w:r w:rsidRPr="00CC5884">
        <w:rPr>
          <w:szCs w:val="21"/>
          <w:vertAlign w:val="superscript"/>
        </w:rPr>
        <w:t>2</w:t>
      </w:r>
      <w:r w:rsidRPr="00CC5884">
        <w:rPr>
          <w:szCs w:val="21"/>
        </w:rPr>
        <w:t xml:space="preserve"> (metr kwadratowy) wykonanego utwardzonego pobocza.</w:t>
      </w:r>
    </w:p>
    <w:p w14:paraId="3A1E575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 xml:space="preserve"> </w:t>
      </w:r>
      <w:bookmarkStart w:id="52" w:name="_Toc211316619"/>
      <w:bookmarkStart w:id="53" w:name="_Toc199904826"/>
      <w:bookmarkStart w:id="54" w:name="_Toc198436142"/>
      <w:bookmarkStart w:id="55" w:name="_Toc179183773"/>
      <w:bookmarkStart w:id="56" w:name="_Toc174333140"/>
      <w:bookmarkStart w:id="57" w:name="_Toc25379403"/>
      <w:bookmarkStart w:id="58" w:name="_Toc25373387"/>
      <w:bookmarkStart w:id="59" w:name="_Toc25128889"/>
      <w:bookmarkStart w:id="60" w:name="_Toc24955915"/>
      <w:bookmarkStart w:id="61" w:name="_Toc421940503"/>
      <w:r w:rsidRPr="00CC5884">
        <w:rPr>
          <w:szCs w:val="21"/>
        </w:rPr>
        <w:t xml:space="preserve">8.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CC5884">
        <w:rPr>
          <w:szCs w:val="21"/>
        </w:rPr>
        <w:t>ODBIÓR ROBÓT</w:t>
      </w:r>
    </w:p>
    <w:p w14:paraId="390A8B2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8.1. Ogólne zasady odbioru robót</w:t>
      </w:r>
    </w:p>
    <w:p w14:paraId="64889D5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Ogólne zasady odbioru robót podano w OST  D-M-00.00.00 „Wymagania ogólne” [1] pkt 8.</w:t>
      </w:r>
    </w:p>
    <w:p w14:paraId="68084A4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Roboty uznaje się za wykonane zgodnie z dokumentacją projektową, ST i wymaganiami Inżyniera, jeżeli wszystkie pomiary i badania z zachowaniem tolerancji według </w:t>
      </w:r>
      <w:proofErr w:type="spellStart"/>
      <w:r w:rsidRPr="00CC5884">
        <w:rPr>
          <w:szCs w:val="21"/>
        </w:rPr>
        <w:t>pktu</w:t>
      </w:r>
      <w:proofErr w:type="spellEnd"/>
      <w:r w:rsidRPr="00CC5884">
        <w:rPr>
          <w:szCs w:val="21"/>
        </w:rPr>
        <w:t xml:space="preserve"> 6 dały wyniki pozytywne.</w:t>
      </w:r>
    </w:p>
    <w:p w14:paraId="21173AF3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8.2. Odbiór robót zanikających i ulegających  zakryciu</w:t>
      </w:r>
    </w:p>
    <w:p w14:paraId="133D40F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Odbiorowi robót zanikających i ulegających zakryciu podlegają:</w:t>
      </w:r>
    </w:p>
    <w:p w14:paraId="2FF2F30B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wykonanie koryta i przygotowanie podłoża.</w:t>
      </w:r>
    </w:p>
    <w:p w14:paraId="1662AB44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 xml:space="preserve">Odbiór tych robót powinien  być zgodny z wymaganiami </w:t>
      </w:r>
      <w:proofErr w:type="spellStart"/>
      <w:r w:rsidRPr="00CC5884">
        <w:rPr>
          <w:szCs w:val="21"/>
        </w:rPr>
        <w:t>pktu</w:t>
      </w:r>
      <w:proofErr w:type="spellEnd"/>
      <w:r w:rsidRPr="00CC5884">
        <w:rPr>
          <w:szCs w:val="21"/>
        </w:rPr>
        <w:t xml:space="preserve"> 8.2 D-M-00.00.00 </w:t>
      </w:r>
      <w:r w:rsidRPr="00CC5884">
        <w:rPr>
          <w:szCs w:val="21"/>
        </w:rPr>
        <w:lastRenderedPageBreak/>
        <w:t>„Wymagania ogólne” [1] oraz niniejszej OST.</w:t>
      </w:r>
    </w:p>
    <w:p w14:paraId="62510101" w14:textId="77777777" w:rsidR="002558EF" w:rsidRPr="00CC5884" w:rsidRDefault="002558EF" w:rsidP="002558EF">
      <w:pPr>
        <w:rPr>
          <w:szCs w:val="21"/>
        </w:rPr>
      </w:pPr>
      <w:bookmarkStart w:id="62" w:name="_Toc211316620"/>
      <w:bookmarkStart w:id="63" w:name="_Toc199904827"/>
      <w:bookmarkStart w:id="64" w:name="_Toc198436143"/>
      <w:bookmarkStart w:id="65" w:name="_Toc179183774"/>
      <w:bookmarkStart w:id="66" w:name="_Toc174333141"/>
      <w:bookmarkStart w:id="67" w:name="_Toc25379404"/>
      <w:bookmarkStart w:id="68" w:name="_Toc25373388"/>
      <w:bookmarkStart w:id="69" w:name="_Toc25128890"/>
      <w:bookmarkStart w:id="70" w:name="_Toc24955916"/>
      <w:bookmarkStart w:id="71" w:name="_Toc421940504"/>
      <w:bookmarkStart w:id="72" w:name="_Toc421686551"/>
      <w:r w:rsidRPr="00CC5884">
        <w:rPr>
          <w:szCs w:val="21"/>
        </w:rPr>
        <w:t xml:space="preserve">9.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CC5884">
        <w:rPr>
          <w:szCs w:val="21"/>
        </w:rPr>
        <w:t>PODSTAWA PŁATNOŚCI</w:t>
      </w:r>
    </w:p>
    <w:p w14:paraId="58A0712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9.1. Ogólne ustalenia dotyczące podstawy płatności</w:t>
      </w:r>
    </w:p>
    <w:p w14:paraId="1E21032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Ogólne ustalenia dotyczące podstawy płatności podano w OST D-M-00.00.00 „Wymagania ogólne” [1] pkt 9.</w:t>
      </w:r>
    </w:p>
    <w:p w14:paraId="7383259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9.2. Cena jednostki obmiarowej</w:t>
      </w:r>
    </w:p>
    <w:p w14:paraId="0947038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Cena wykonania  1 m</w:t>
      </w:r>
      <w:r w:rsidRPr="00CC5884">
        <w:rPr>
          <w:szCs w:val="21"/>
          <w:vertAlign w:val="superscript"/>
        </w:rPr>
        <w:t>2</w:t>
      </w:r>
      <w:r w:rsidRPr="00CC5884">
        <w:rPr>
          <w:szCs w:val="21"/>
        </w:rPr>
        <w:t xml:space="preserve"> utwardzonego pobocza obejmuje:</w:t>
      </w:r>
    </w:p>
    <w:p w14:paraId="04601A75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prace pomiarowe i roboty przygotowawcze,</w:t>
      </w:r>
    </w:p>
    <w:p w14:paraId="75E3B2FF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oznakowanie robót,</w:t>
      </w:r>
    </w:p>
    <w:p w14:paraId="3B56DF31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przygotowanie  podłoża,</w:t>
      </w:r>
    </w:p>
    <w:p w14:paraId="0EBD2CB3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dostarczenie materiałów i sprzętu,</w:t>
      </w:r>
    </w:p>
    <w:p w14:paraId="0A6896F6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ewentualne ścięcie istniejącego pobocza, ew. spulchnienie, wyprofilowanie i zagęszczenie gruntowego pobocza,</w:t>
      </w:r>
    </w:p>
    <w:p w14:paraId="69741D3A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przygotowanie i dostarczenie mieszanki kruszywa łamanego,</w:t>
      </w:r>
    </w:p>
    <w:p w14:paraId="26922D50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wykonanie nawierzchni utwardzonego pobocza według wymagań dokumentacji projektowej, ST i specyfikacji technicznej,</w:t>
      </w:r>
    </w:p>
    <w:p w14:paraId="50E11779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przeprowadzenie pomiarów i badań  wymaganych w  specyfikacji technicznej,</w:t>
      </w:r>
    </w:p>
    <w:p w14:paraId="664E6CBF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odwiezienie sprzętu.</w:t>
      </w:r>
    </w:p>
    <w:p w14:paraId="69AEDBE3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szCs w:val="21"/>
        </w:rPr>
        <w:t>9.3. Sposób rozliczenia robót tymczasowych i prac towarzyszących</w:t>
      </w:r>
    </w:p>
    <w:p w14:paraId="74368102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Cena wykonania robót określonych niniejszą OST obejmuje:</w:t>
      </w:r>
    </w:p>
    <w:p w14:paraId="6A0018FE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roboty tymczasowe, które są potrzebne do wykonania robót podstawowych, ale nie są przekazywane Zamawiającemu i są usuwane po wykonaniu robót podstawowych,</w:t>
      </w:r>
    </w:p>
    <w:p w14:paraId="20CBBE70" w14:textId="77777777" w:rsidR="002558EF" w:rsidRPr="00CC5884" w:rsidRDefault="002558EF" w:rsidP="002558EF">
      <w:pPr>
        <w:rPr>
          <w:szCs w:val="21"/>
        </w:rPr>
      </w:pPr>
      <w:r w:rsidRPr="00CC5884">
        <w:rPr>
          <w:rFonts w:ascii="Symbol" w:eastAsia="Symbol" w:hAnsi="Symbol" w:cs="Symbol"/>
          <w:szCs w:val="21"/>
        </w:rPr>
        <w:t></w:t>
      </w:r>
      <w:r w:rsidRPr="00CC5884">
        <w:rPr>
          <w:rFonts w:eastAsia="Symbol"/>
          <w:sz w:val="14"/>
          <w:szCs w:val="14"/>
        </w:rPr>
        <w:t xml:space="preserve">      </w:t>
      </w:r>
      <w:r w:rsidRPr="00CC5884">
        <w:rPr>
          <w:szCs w:val="21"/>
        </w:rPr>
        <w:t>prace towarzyszące, które są niezbędne do wykonania robót podstawowych, niezaliczane do robót tymczasowych, jak geodezyjne wytyczenie robót itd.</w:t>
      </w:r>
    </w:p>
    <w:p w14:paraId="43559352" w14:textId="77777777" w:rsidR="002558EF" w:rsidRPr="00CC5884" w:rsidRDefault="002558EF" w:rsidP="002558EF">
      <w:pPr>
        <w:rPr>
          <w:szCs w:val="21"/>
        </w:rPr>
      </w:pPr>
      <w:bookmarkStart w:id="73" w:name="_Toc211316621"/>
      <w:bookmarkStart w:id="74" w:name="_Toc199904828"/>
      <w:bookmarkStart w:id="75" w:name="_Toc198436144"/>
      <w:bookmarkStart w:id="76" w:name="_Toc179183775"/>
      <w:bookmarkStart w:id="77" w:name="_Toc174333142"/>
      <w:bookmarkStart w:id="78" w:name="_Toc25379405"/>
      <w:bookmarkStart w:id="79" w:name="_Toc25373389"/>
      <w:bookmarkStart w:id="80" w:name="_Toc25128891"/>
      <w:bookmarkStart w:id="81" w:name="_Toc25041751"/>
      <w:bookmarkStart w:id="82" w:name="_Toc24955917"/>
      <w:r w:rsidRPr="00CC5884">
        <w:rPr>
          <w:szCs w:val="21"/>
        </w:rPr>
        <w:t xml:space="preserve">10. 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C5884">
        <w:rPr>
          <w:szCs w:val="21"/>
        </w:rPr>
        <w:t>PRZEPISY ZWIAZANE</w:t>
      </w:r>
    </w:p>
    <w:p w14:paraId="4501995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10.1. Ogólne specyfikacje techniczne (OST)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6592"/>
      </w:tblGrid>
      <w:tr w:rsidR="002558EF" w:rsidRPr="00CC5884" w14:paraId="65222776" w14:textId="77777777" w:rsidTr="00143026">
        <w:tc>
          <w:tcPr>
            <w:tcW w:w="496" w:type="dxa"/>
            <w:hideMark/>
          </w:tcPr>
          <w:p w14:paraId="69637ACF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1.</w:t>
            </w:r>
          </w:p>
        </w:tc>
        <w:tc>
          <w:tcPr>
            <w:tcW w:w="1984" w:type="dxa"/>
            <w:hideMark/>
          </w:tcPr>
          <w:p w14:paraId="286B54D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D-M-00.00.00</w:t>
            </w:r>
          </w:p>
        </w:tc>
        <w:tc>
          <w:tcPr>
            <w:tcW w:w="6592" w:type="dxa"/>
            <w:hideMark/>
          </w:tcPr>
          <w:p w14:paraId="38A3207D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Wymagania ogólne</w:t>
            </w:r>
          </w:p>
        </w:tc>
      </w:tr>
      <w:tr w:rsidR="002558EF" w:rsidRPr="00CC5884" w14:paraId="7913BC0D" w14:textId="77777777" w:rsidTr="00143026">
        <w:tc>
          <w:tcPr>
            <w:tcW w:w="496" w:type="dxa"/>
            <w:hideMark/>
          </w:tcPr>
          <w:p w14:paraId="6A50C1B7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2.</w:t>
            </w:r>
          </w:p>
        </w:tc>
        <w:tc>
          <w:tcPr>
            <w:tcW w:w="1984" w:type="dxa"/>
            <w:hideMark/>
          </w:tcPr>
          <w:p w14:paraId="3724803E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D-01.00.00</w:t>
            </w:r>
          </w:p>
        </w:tc>
        <w:tc>
          <w:tcPr>
            <w:tcW w:w="6592" w:type="dxa"/>
            <w:hideMark/>
          </w:tcPr>
          <w:p w14:paraId="0E58A08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Roboty przygotowawcze</w:t>
            </w:r>
          </w:p>
        </w:tc>
      </w:tr>
      <w:tr w:rsidR="002558EF" w:rsidRPr="00CC5884" w14:paraId="0283EAA9" w14:textId="77777777" w:rsidTr="00143026">
        <w:tc>
          <w:tcPr>
            <w:tcW w:w="496" w:type="dxa"/>
            <w:hideMark/>
          </w:tcPr>
          <w:p w14:paraId="05222A79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3.</w:t>
            </w:r>
          </w:p>
        </w:tc>
        <w:tc>
          <w:tcPr>
            <w:tcW w:w="1984" w:type="dxa"/>
            <w:hideMark/>
          </w:tcPr>
          <w:p w14:paraId="0AC41F3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D-02.00.00</w:t>
            </w:r>
          </w:p>
        </w:tc>
        <w:tc>
          <w:tcPr>
            <w:tcW w:w="6592" w:type="dxa"/>
            <w:hideMark/>
          </w:tcPr>
          <w:p w14:paraId="20EEC18C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Roboty ziemne</w:t>
            </w:r>
          </w:p>
        </w:tc>
      </w:tr>
    </w:tbl>
    <w:p w14:paraId="19CDFDDC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10.2. Normy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1984"/>
        <w:gridCol w:w="6554"/>
      </w:tblGrid>
      <w:tr w:rsidR="002558EF" w:rsidRPr="00CC5884" w14:paraId="7A9096F2" w14:textId="77777777" w:rsidTr="00143026">
        <w:tc>
          <w:tcPr>
            <w:tcW w:w="534" w:type="dxa"/>
            <w:hideMark/>
          </w:tcPr>
          <w:p w14:paraId="0E9097B3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4.</w:t>
            </w:r>
          </w:p>
        </w:tc>
        <w:tc>
          <w:tcPr>
            <w:tcW w:w="1984" w:type="dxa"/>
            <w:hideMark/>
          </w:tcPr>
          <w:p w14:paraId="5C18700A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PN-EN 13242:2004</w:t>
            </w:r>
          </w:p>
        </w:tc>
        <w:tc>
          <w:tcPr>
            <w:tcW w:w="6554" w:type="dxa"/>
            <w:hideMark/>
          </w:tcPr>
          <w:p w14:paraId="308F0A72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Kruszywa do niezwiązanych i związanych hydraulicznie materiałów stosowanych w obiektach budowlanych i budownictwie drogowym (patrz: poz. 7 i 8)</w:t>
            </w:r>
          </w:p>
        </w:tc>
      </w:tr>
      <w:tr w:rsidR="002558EF" w:rsidRPr="00CC5884" w14:paraId="0FB8CF98" w14:textId="77777777" w:rsidTr="00143026">
        <w:tc>
          <w:tcPr>
            <w:tcW w:w="534" w:type="dxa"/>
            <w:hideMark/>
          </w:tcPr>
          <w:p w14:paraId="17FBB276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5.</w:t>
            </w:r>
          </w:p>
        </w:tc>
        <w:tc>
          <w:tcPr>
            <w:tcW w:w="1984" w:type="dxa"/>
            <w:hideMark/>
          </w:tcPr>
          <w:p w14:paraId="2DFA05C0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PN-EN 13285:2004</w:t>
            </w:r>
          </w:p>
        </w:tc>
        <w:tc>
          <w:tcPr>
            <w:tcW w:w="6554" w:type="dxa"/>
            <w:hideMark/>
          </w:tcPr>
          <w:p w14:paraId="6BBB6905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Mieszanki niezwiązane. Specyfikacje (patrz: poz. 7 i 8)</w:t>
            </w:r>
          </w:p>
        </w:tc>
      </w:tr>
      <w:tr w:rsidR="002558EF" w:rsidRPr="00CC5884" w14:paraId="1127FF87" w14:textId="77777777" w:rsidTr="00143026">
        <w:tc>
          <w:tcPr>
            <w:tcW w:w="534" w:type="dxa"/>
            <w:hideMark/>
          </w:tcPr>
          <w:p w14:paraId="4000A78D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6.</w:t>
            </w:r>
          </w:p>
        </w:tc>
        <w:tc>
          <w:tcPr>
            <w:tcW w:w="1984" w:type="dxa"/>
            <w:hideMark/>
          </w:tcPr>
          <w:p w14:paraId="7428A1F0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PN-B-04481:1988</w:t>
            </w:r>
          </w:p>
        </w:tc>
        <w:tc>
          <w:tcPr>
            <w:tcW w:w="6554" w:type="dxa"/>
            <w:hideMark/>
          </w:tcPr>
          <w:p w14:paraId="55D96C99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Grunty budowlane. Badanie próbek gruntu</w:t>
            </w:r>
          </w:p>
        </w:tc>
      </w:tr>
      <w:tr w:rsidR="002558EF" w:rsidRPr="00CC5884" w14:paraId="2633CEAF" w14:textId="77777777" w:rsidTr="00143026">
        <w:tc>
          <w:tcPr>
            <w:tcW w:w="534" w:type="dxa"/>
            <w:hideMark/>
          </w:tcPr>
          <w:p w14:paraId="46829EA2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7.</w:t>
            </w:r>
          </w:p>
        </w:tc>
        <w:tc>
          <w:tcPr>
            <w:tcW w:w="1984" w:type="dxa"/>
            <w:hideMark/>
          </w:tcPr>
          <w:p w14:paraId="1C0C765C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PN-B-11112:1996</w:t>
            </w:r>
          </w:p>
        </w:tc>
        <w:tc>
          <w:tcPr>
            <w:tcW w:w="6554" w:type="dxa"/>
            <w:hideMark/>
          </w:tcPr>
          <w:p w14:paraId="2525622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Kruszywa mineralne. Kruszywa łamane do nawierzchni drogowych (W okresie przejściowym norma może być stosowana zamiast poz. 4 i 5)</w:t>
            </w:r>
          </w:p>
        </w:tc>
      </w:tr>
      <w:tr w:rsidR="002558EF" w:rsidRPr="00CC5884" w14:paraId="4CC55DDC" w14:textId="77777777" w:rsidTr="00143026">
        <w:tc>
          <w:tcPr>
            <w:tcW w:w="534" w:type="dxa"/>
            <w:hideMark/>
          </w:tcPr>
          <w:p w14:paraId="2C8CD8DB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8.</w:t>
            </w:r>
          </w:p>
        </w:tc>
        <w:tc>
          <w:tcPr>
            <w:tcW w:w="1984" w:type="dxa"/>
            <w:hideMark/>
          </w:tcPr>
          <w:p w14:paraId="326815C3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PN-B-11113:1996</w:t>
            </w:r>
          </w:p>
        </w:tc>
        <w:tc>
          <w:tcPr>
            <w:tcW w:w="6554" w:type="dxa"/>
            <w:hideMark/>
          </w:tcPr>
          <w:p w14:paraId="5E17A943" w14:textId="77777777" w:rsidR="002558EF" w:rsidRPr="00CC5884" w:rsidRDefault="002558EF" w:rsidP="00143026">
            <w:pPr>
              <w:rPr>
                <w:szCs w:val="21"/>
              </w:rPr>
            </w:pPr>
            <w:r w:rsidRPr="00CC5884">
              <w:rPr>
                <w:szCs w:val="21"/>
              </w:rPr>
              <w:t>Kruszywa mineralne. Kruszywa naturalne do nawierzchni drogowych. Piasek (W okresie przejściowym norma może być stosowana zamiast poz. 4 i 5)</w:t>
            </w:r>
          </w:p>
        </w:tc>
      </w:tr>
    </w:tbl>
    <w:p w14:paraId="4AAE97B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10.3. Inne dokumenty</w:t>
      </w:r>
    </w:p>
    <w:p w14:paraId="26FE21D1" w14:textId="77777777" w:rsidR="002558EF" w:rsidRPr="00CC5884" w:rsidRDefault="002558EF" w:rsidP="002558EF">
      <w:pPr>
        <w:rPr>
          <w:szCs w:val="21"/>
        </w:rPr>
      </w:pPr>
      <w:r w:rsidRPr="00CC5884">
        <w:rPr>
          <w:sz w:val="14"/>
          <w:szCs w:val="14"/>
        </w:rPr>
        <w:t xml:space="preserve">         </w:t>
      </w:r>
      <w:r w:rsidRPr="00CC5884">
        <w:rPr>
          <w:szCs w:val="21"/>
        </w:rPr>
        <w:t>9.</w:t>
      </w:r>
      <w:r w:rsidRPr="00CC5884">
        <w:rPr>
          <w:sz w:val="14"/>
          <w:szCs w:val="14"/>
        </w:rPr>
        <w:t xml:space="preserve">          </w:t>
      </w:r>
      <w:r w:rsidRPr="00CC5884">
        <w:rPr>
          <w:szCs w:val="21"/>
        </w:rPr>
        <w:t>Rozporządzenie Ministra Transportu i Gospodarki Morskiej z dnia 2 marca 1999 r. w sprawie warunków technicznych, jakim powinny odpowiadać drogi publiczne i ich usytuowanie. Dz. U. nr 43, poz. 430</w:t>
      </w:r>
    </w:p>
    <w:p w14:paraId="7E641175" w14:textId="77777777" w:rsidR="002558EF" w:rsidRPr="00CC5884" w:rsidRDefault="002558EF" w:rsidP="002558EF">
      <w:pPr>
        <w:rPr>
          <w:szCs w:val="21"/>
        </w:rPr>
      </w:pP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10.</w:t>
      </w:r>
      <w:r w:rsidRPr="00CC5884">
        <w:rPr>
          <w:sz w:val="14"/>
          <w:szCs w:val="14"/>
        </w:rPr>
        <w:t xml:space="preserve">          </w:t>
      </w:r>
      <w:r w:rsidRPr="00CC5884">
        <w:rPr>
          <w:szCs w:val="21"/>
        </w:rPr>
        <w:t>Wytyczne utwardzania poboczy. Centralny Zarząd Dróg Publicznych, Warszawa, 1981 r.</w:t>
      </w:r>
    </w:p>
    <w:p w14:paraId="5FFEC118" w14:textId="77777777" w:rsidR="002558EF" w:rsidRPr="00CC5884" w:rsidRDefault="002558EF" w:rsidP="002558EF">
      <w:pPr>
        <w:rPr>
          <w:szCs w:val="21"/>
        </w:rPr>
      </w:pPr>
    </w:p>
    <w:p w14:paraId="4B429ED8" w14:textId="77777777" w:rsidR="002558EF" w:rsidRPr="00CC5884" w:rsidRDefault="002558EF" w:rsidP="002558EF">
      <w:pPr>
        <w:rPr>
          <w:szCs w:val="21"/>
        </w:rPr>
      </w:pPr>
    </w:p>
    <w:p w14:paraId="55D4983D" w14:textId="77777777" w:rsidR="002558EF" w:rsidRPr="00CC5884" w:rsidRDefault="002558EF" w:rsidP="002558EF">
      <w:pPr>
        <w:rPr>
          <w:szCs w:val="21"/>
        </w:rPr>
      </w:pPr>
      <w:bookmarkStart w:id="83" w:name="_Toc211316622"/>
      <w:r w:rsidRPr="00CC5884">
        <w:rPr>
          <w:szCs w:val="21"/>
        </w:rPr>
        <w:t>11. ZAŁĄCZNIKI</w:t>
      </w:r>
      <w:bookmarkEnd w:id="83"/>
    </w:p>
    <w:p w14:paraId="57E138D8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b/>
          <w:szCs w:val="21"/>
        </w:rPr>
        <w:t>ZAŁĄCZNIK 1</w:t>
      </w:r>
    </w:p>
    <w:p w14:paraId="764EAAC1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b/>
          <w:szCs w:val="21"/>
        </w:rPr>
        <w:t>ZASADY  PROJEKTOWANIA  UTWARDZONYCH  POBOCZY</w:t>
      </w:r>
    </w:p>
    <w:p w14:paraId="42F9AAB8" w14:textId="77777777" w:rsidR="002558EF" w:rsidRPr="00CC5884" w:rsidRDefault="002558EF" w:rsidP="002558EF">
      <w:pPr>
        <w:rPr>
          <w:b/>
          <w:szCs w:val="21"/>
        </w:rPr>
      </w:pPr>
    </w:p>
    <w:p w14:paraId="7F173160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szCs w:val="21"/>
        </w:rPr>
        <w:t>1.1.</w:t>
      </w:r>
      <w:r w:rsidRPr="00CC5884">
        <w:rPr>
          <w:sz w:val="14"/>
          <w:szCs w:val="14"/>
        </w:rPr>
        <w:t xml:space="preserve">  </w:t>
      </w:r>
      <w:r w:rsidRPr="00CC5884">
        <w:rPr>
          <w:szCs w:val="21"/>
        </w:rPr>
        <w:t xml:space="preserve">Szerokość i pochylenia (wg [9])  </w:t>
      </w:r>
    </w:p>
    <w:p w14:paraId="37CE3C9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Pobocza drogi klasy A (autostrady) lub S (drogi ekspresowej) składają się z umieszczonego przy jezdni pasa awaryjnego i gruntowego pobocza.</w:t>
      </w:r>
    </w:p>
    <w:p w14:paraId="7DF74B7D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Na drogach klasy GP (głównych ruchu przyspieszonego), G (głównych) i Z (zbiorczych), w zależności od potrzeb, w tym ruchu lokalnego i pieszych, część pobocza przylegająca do jezdni może być utwardzona. Utwardzone pobocze powinno mieć szerokość nie mniejszą niż 2,0 m, a przy przebudowie, remoncie lub etapowaniu budowy dróg, dopuszcza się w trudnych warunkach terenowych utwardzone pobocza o szerokości mniejszej niż 2,0 m. Pochylenie podłużne i poprzeczne utwardzonego pobocza powinno być dostosowane do pochyleń pasa ruchu, przy którym się ono znajduje (zał. 2, rys. 1 i 2).</w:t>
      </w:r>
    </w:p>
    <w:p w14:paraId="1317E41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1.2. Nawierzchnia (wg [10])</w:t>
      </w:r>
    </w:p>
    <w:p w14:paraId="1694F1C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ab/>
        <w:t>Nawierzchnia utwardzonego pobocza powinna:</w:t>
      </w:r>
    </w:p>
    <w:p w14:paraId="6B0C79C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zapewnić, łącznie z nawierzchnią jezdni, szczelność korpusu drogowego,</w:t>
      </w:r>
    </w:p>
    <w:p w14:paraId="58A94F6A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zachować trwałość, uwzględniając specyfikę jego eksploatacji,</w:t>
      </w:r>
    </w:p>
    <w:p w14:paraId="72587A4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–</w:t>
      </w:r>
      <w:r w:rsidRPr="00CC5884">
        <w:rPr>
          <w:sz w:val="14"/>
          <w:szCs w:val="14"/>
        </w:rPr>
        <w:t xml:space="preserve">      </w:t>
      </w:r>
      <w:r w:rsidRPr="00CC5884">
        <w:rPr>
          <w:szCs w:val="21"/>
        </w:rPr>
        <w:t>odróżniać się kolorem, w miarę możliwości, od nawierzchni jezdni.</w:t>
      </w:r>
    </w:p>
    <w:p w14:paraId="4758281F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Konstrukcja nawierzchni utwardzonego pobocza obejmuje warstwy jezdne, warstwę górną podbudowy, warstwę dolną podbudowy i ulepszone podłoże, przy występowaniu gorszych warunków gruntowo-wodnych podłoża (zał. 2, rys. 3).</w:t>
      </w:r>
    </w:p>
    <w:p w14:paraId="1C0812C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Do wykonywania warstw nośnych utwardzonego pobocza na drogach istniejących zaleca się wykorzystywać, w jak najszerszym zakresie, grunt występujący w poboczu.</w:t>
      </w:r>
    </w:p>
    <w:p w14:paraId="7CC5ADF0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Układ warstw powinien być tak zaprojektowany, aby styk krawędzi nawierzchni utwardzonego pobocza z krawędzią nawierzchni jezdni był równy, szczelny i trwały. W związku z tym, w przypadku „schodkowego” zakończenia nawierzchni jezdni, grubość warstw utwardzonego pobocza powinna w zasadzie odpowiadać wysokości „schodków”, w celu umożliwienia dobrego zagęszczenia warstw.</w:t>
      </w:r>
    </w:p>
    <w:p w14:paraId="46AED93B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Konstrukcja styku nawierzchni jezdni i utwardzonego pobocza powinna umożliwiać odpowiednie zagęszczenie warstw w obrębie styku, a także zapewniać trwałą ochronę krawędzi nawierzchni jezdni przed uszkodzeniem.</w:t>
      </w:r>
    </w:p>
    <w:p w14:paraId="3CD08ED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Konstrukcja nawierzchni utwardzonego pobocza powinna być zgodna z ustaleniami dokumentacji projektowej, uwzględniającej nośność podłoża i sposób wykonania, np. jednoczesne wykonanie odnowy lub wzmocnienia nawierzchni jezdni (przykłady: zał. 2, rys. 4).</w:t>
      </w:r>
    </w:p>
    <w:p w14:paraId="2803AE5C" w14:textId="77777777" w:rsidR="002558EF" w:rsidRPr="00CC5884" w:rsidRDefault="002558EF" w:rsidP="002558EF">
      <w:pPr>
        <w:rPr>
          <w:szCs w:val="21"/>
        </w:rPr>
      </w:pPr>
    </w:p>
    <w:p w14:paraId="3044CF5F" w14:textId="77777777" w:rsidR="002558EF" w:rsidRPr="00CC5884" w:rsidRDefault="002558EF" w:rsidP="002558EF">
      <w:pPr>
        <w:rPr>
          <w:szCs w:val="21"/>
        </w:rPr>
      </w:pPr>
    </w:p>
    <w:p w14:paraId="5AD44215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b/>
          <w:szCs w:val="21"/>
        </w:rPr>
        <w:t>ZAŁĄCZNIK 2</w:t>
      </w:r>
    </w:p>
    <w:p w14:paraId="1BF7FFEA" w14:textId="77777777" w:rsidR="002558EF" w:rsidRPr="00CC5884" w:rsidRDefault="002558EF" w:rsidP="002558EF">
      <w:pPr>
        <w:rPr>
          <w:b/>
          <w:szCs w:val="21"/>
        </w:rPr>
      </w:pPr>
    </w:p>
    <w:p w14:paraId="14217726" w14:textId="77777777" w:rsidR="002558EF" w:rsidRPr="00CC5884" w:rsidRDefault="002558EF" w:rsidP="002558EF">
      <w:pPr>
        <w:rPr>
          <w:b/>
          <w:szCs w:val="21"/>
        </w:rPr>
      </w:pPr>
      <w:r w:rsidRPr="00CC5884">
        <w:rPr>
          <w:b/>
          <w:szCs w:val="21"/>
        </w:rPr>
        <w:t>RYSUNKI  (WG[10])</w:t>
      </w:r>
    </w:p>
    <w:p w14:paraId="62E496B0" w14:textId="77777777" w:rsidR="002558EF" w:rsidRPr="00CC5884" w:rsidRDefault="002558EF" w:rsidP="002558EF">
      <w:pPr>
        <w:rPr>
          <w:b/>
          <w:szCs w:val="21"/>
        </w:rPr>
      </w:pPr>
    </w:p>
    <w:p w14:paraId="7675CC61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Rys. 1. Przykład utwardzonego pobocza o grubości mniejszej niż grubość jezdni</w:t>
      </w:r>
    </w:p>
    <w:p w14:paraId="202E9B67" w14:textId="77777777" w:rsidR="002558EF" w:rsidRPr="00CC5884" w:rsidRDefault="002558EF" w:rsidP="002558EF">
      <w:pPr>
        <w:rPr>
          <w:szCs w:val="21"/>
        </w:rPr>
      </w:pPr>
    </w:p>
    <w:p w14:paraId="370C8321" w14:textId="4DD29D42" w:rsidR="002558EF" w:rsidRPr="00CC5884" w:rsidRDefault="002558EF" w:rsidP="002558EF">
      <w:pPr>
        <w:rPr>
          <w:szCs w:val="21"/>
        </w:rPr>
      </w:pPr>
      <w:r w:rsidRPr="00CC5884">
        <w:rPr>
          <w:noProof/>
          <w:szCs w:val="21"/>
          <w:lang w:eastAsia="pl-PL" w:bidi="ar-SA"/>
        </w:rPr>
        <w:lastRenderedPageBreak/>
        <w:drawing>
          <wp:inline distT="0" distB="0" distL="0" distR="0" wp14:anchorId="15DEB7CF" wp14:editId="2F64EC86">
            <wp:extent cx="4667250" cy="1571625"/>
            <wp:effectExtent l="0" t="0" r="0" b="9525"/>
            <wp:docPr id="4" name="Obraz 4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F521E" w14:textId="77777777" w:rsidR="002558EF" w:rsidRPr="00CC5884" w:rsidRDefault="002558EF" w:rsidP="002558EF">
      <w:pPr>
        <w:rPr>
          <w:szCs w:val="21"/>
        </w:rPr>
      </w:pPr>
    </w:p>
    <w:p w14:paraId="44CE2D87" w14:textId="77777777" w:rsidR="002558EF" w:rsidRPr="00CC5884" w:rsidRDefault="002558EF" w:rsidP="002558EF">
      <w:pPr>
        <w:rPr>
          <w:szCs w:val="21"/>
        </w:rPr>
      </w:pPr>
    </w:p>
    <w:p w14:paraId="34B56BC9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Rys. 2. Przykład utwardzonego pobocza przy etapowaniu rozbudowy szerokości jezdni</w:t>
      </w:r>
    </w:p>
    <w:p w14:paraId="2EF4CC65" w14:textId="77777777" w:rsidR="002558EF" w:rsidRPr="00CC5884" w:rsidRDefault="002558EF" w:rsidP="002558EF">
      <w:pPr>
        <w:rPr>
          <w:szCs w:val="21"/>
        </w:rPr>
      </w:pPr>
    </w:p>
    <w:p w14:paraId="00521863" w14:textId="36ACE4C5" w:rsidR="002558EF" w:rsidRPr="00CC5884" w:rsidRDefault="002558EF" w:rsidP="002558EF">
      <w:pPr>
        <w:rPr>
          <w:szCs w:val="21"/>
        </w:rPr>
      </w:pPr>
      <w:r w:rsidRPr="00CC5884">
        <w:rPr>
          <w:noProof/>
          <w:szCs w:val="21"/>
          <w:lang w:eastAsia="pl-PL" w:bidi="ar-SA"/>
        </w:rPr>
        <w:drawing>
          <wp:inline distT="0" distB="0" distL="0" distR="0" wp14:anchorId="1C3E2C42" wp14:editId="0E6AEA58">
            <wp:extent cx="5760720" cy="1466215"/>
            <wp:effectExtent l="0" t="0" r="0" b="635"/>
            <wp:docPr id="3" name="Obraz 3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y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2B56" w14:textId="77777777" w:rsidR="002558EF" w:rsidRPr="00CC5884" w:rsidRDefault="002558EF" w:rsidP="002558EF">
      <w:pPr>
        <w:rPr>
          <w:szCs w:val="21"/>
        </w:rPr>
      </w:pPr>
    </w:p>
    <w:p w14:paraId="4B5163E0" w14:textId="77777777" w:rsidR="002558EF" w:rsidRPr="00CC5884" w:rsidRDefault="002558EF" w:rsidP="002558EF">
      <w:pPr>
        <w:rPr>
          <w:szCs w:val="21"/>
        </w:rPr>
      </w:pPr>
    </w:p>
    <w:p w14:paraId="0C71643E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Rys. 3. Konstrukcja nawierzchni utwardzonego pobocza</w:t>
      </w:r>
    </w:p>
    <w:p w14:paraId="751F4628" w14:textId="77777777" w:rsidR="002558EF" w:rsidRPr="00CC5884" w:rsidRDefault="002558EF" w:rsidP="002558EF">
      <w:pPr>
        <w:rPr>
          <w:szCs w:val="21"/>
        </w:rPr>
      </w:pPr>
    </w:p>
    <w:p w14:paraId="4BD3701B" w14:textId="4CFB9088" w:rsidR="002558EF" w:rsidRPr="00CC5884" w:rsidRDefault="002558EF" w:rsidP="002558EF">
      <w:pPr>
        <w:rPr>
          <w:szCs w:val="21"/>
        </w:rPr>
      </w:pPr>
      <w:r w:rsidRPr="00CC5884">
        <w:rPr>
          <w:noProof/>
          <w:szCs w:val="21"/>
          <w:lang w:eastAsia="pl-PL" w:bidi="ar-SA"/>
        </w:rPr>
        <w:drawing>
          <wp:inline distT="0" distB="0" distL="0" distR="0" wp14:anchorId="1834B253" wp14:editId="575758EE">
            <wp:extent cx="2819400" cy="1562100"/>
            <wp:effectExtent l="0" t="0" r="0" b="0"/>
            <wp:docPr id="2" name="Obraz 2" descr="r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y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9427" w14:textId="77777777" w:rsidR="002558EF" w:rsidRPr="00CC5884" w:rsidRDefault="002558EF" w:rsidP="002558EF">
      <w:pPr>
        <w:rPr>
          <w:szCs w:val="21"/>
        </w:rPr>
      </w:pPr>
    </w:p>
    <w:p w14:paraId="24C05591" w14:textId="77777777" w:rsidR="002558EF" w:rsidRPr="00CC5884" w:rsidRDefault="002558EF" w:rsidP="002558EF">
      <w:pPr>
        <w:rPr>
          <w:szCs w:val="21"/>
        </w:rPr>
      </w:pPr>
    </w:p>
    <w:p w14:paraId="019F5467" w14:textId="77777777" w:rsidR="002558EF" w:rsidRPr="00CC5884" w:rsidRDefault="002558EF" w:rsidP="002558EF">
      <w:pPr>
        <w:rPr>
          <w:szCs w:val="21"/>
        </w:rPr>
      </w:pPr>
      <w:r w:rsidRPr="00CC5884">
        <w:rPr>
          <w:szCs w:val="21"/>
        </w:rPr>
        <w:t>Rys. 4.</w:t>
      </w:r>
      <w:r w:rsidRPr="00CC5884">
        <w:rPr>
          <w:szCs w:val="21"/>
        </w:rPr>
        <w:tab/>
        <w:t>Przykładowe wybrane konstrukcje nawierzchni utwardzonego pobocza z kruszywa łamanego niezwiązanego</w:t>
      </w:r>
    </w:p>
    <w:p w14:paraId="587593C9" w14:textId="77777777" w:rsidR="002558EF" w:rsidRPr="00CC5884" w:rsidRDefault="002558EF" w:rsidP="002558EF">
      <w:pPr>
        <w:rPr>
          <w:szCs w:val="21"/>
        </w:rPr>
      </w:pPr>
    </w:p>
    <w:p w14:paraId="31B371D8" w14:textId="745B948C" w:rsidR="002558EF" w:rsidRPr="00CC5884" w:rsidRDefault="002558EF" w:rsidP="002558EF">
      <w:pPr>
        <w:rPr>
          <w:szCs w:val="21"/>
        </w:rPr>
      </w:pPr>
      <w:r w:rsidRPr="00CC5884">
        <w:rPr>
          <w:noProof/>
          <w:szCs w:val="21"/>
          <w:lang w:eastAsia="pl-PL" w:bidi="ar-SA"/>
        </w:rPr>
        <w:lastRenderedPageBreak/>
        <w:drawing>
          <wp:inline distT="0" distB="0" distL="0" distR="0" wp14:anchorId="38A9E588" wp14:editId="183CECF8">
            <wp:extent cx="5324475" cy="2705100"/>
            <wp:effectExtent l="0" t="0" r="9525" b="0"/>
            <wp:docPr id="1" name="Obraz 1" descr="r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y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A915" w14:textId="77777777" w:rsidR="00440ED4" w:rsidRDefault="00440ED4"/>
    <w:sectPr w:rsidR="0044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F"/>
    <w:rsid w:val="002558EF"/>
    <w:rsid w:val="00440ED4"/>
    <w:rsid w:val="008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459"/>
  <w15:chartTrackingRefBased/>
  <w15:docId w15:val="{F4CDBE75-0A54-42EE-9032-08DD530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8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2913</Words>
  <Characters>17482</Characters>
  <Application>Microsoft Office Word</Application>
  <DocSecurity>0</DocSecurity>
  <Lines>145</Lines>
  <Paragraphs>40</Paragraphs>
  <ScaleCrop>false</ScaleCrop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MSYPKO</dc:creator>
  <cp:keywords/>
  <dc:description/>
  <cp:lastModifiedBy>MSYPKO</cp:lastModifiedBy>
  <cp:revision>1</cp:revision>
  <dcterms:created xsi:type="dcterms:W3CDTF">2020-08-18T07:41:00Z</dcterms:created>
  <dcterms:modified xsi:type="dcterms:W3CDTF">2020-08-18T07:42:00Z</dcterms:modified>
</cp:coreProperties>
</file>